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1D7B20">
        <w:rPr>
          <w:rFonts w:ascii="Times New Roman" w:hAnsi="Times New Roman"/>
          <w:sz w:val="28"/>
          <w:szCs w:val="28"/>
        </w:rPr>
        <w:t>576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 w:rsidR="00D67F24">
        <w:rPr>
          <w:rFonts w:ascii="Times New Roman" w:hAnsi="Times New Roman"/>
          <w:sz w:val="28"/>
          <w:szCs w:val="28"/>
        </w:rPr>
        <w:t>-01-2025</w:t>
      </w:r>
      <w:r w:rsidRPr="00E67312">
        <w:rPr>
          <w:rFonts w:ascii="Times New Roman" w:hAnsi="Times New Roman"/>
          <w:sz w:val="28"/>
          <w:szCs w:val="28"/>
        </w:rPr>
        <w:t>-00</w:t>
      </w:r>
      <w:r w:rsidR="001D7B20">
        <w:rPr>
          <w:rFonts w:ascii="Times New Roman" w:hAnsi="Times New Roman"/>
          <w:sz w:val="28"/>
          <w:szCs w:val="28"/>
        </w:rPr>
        <w:t>3482-95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1D7B20">
        <w:rPr>
          <w:rFonts w:ascii="Times New Roman" w:eastAsia="Times New Roman" w:hAnsi="Times New Roman"/>
          <w:sz w:val="28"/>
          <w:szCs w:val="28"/>
          <w:lang w:eastAsia="ar-SA"/>
        </w:rPr>
        <w:t>576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67F24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сентября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772C4" w:rsidP="00F7127A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1D7B20" w:rsidP="001D7B2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правления ПК «Дуб</w:t>
      </w:r>
      <w:r w:rsidR="003D6D7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="003D6D7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а» Данилко Т</w:t>
      </w:r>
      <w:r w:rsidR="004E1B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4E1B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4E1B4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4E1B4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4E1B4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4E1B4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67F24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1D7B20">
        <w:rPr>
          <w:rFonts w:ascii="Times New Roman" w:hAnsi="Times New Roman"/>
          <w:sz w:val="28"/>
          <w:szCs w:val="28"/>
        </w:rPr>
        <w:t xml:space="preserve">должностное лицо – председатель правления ПК «Дубрава» Данилко Т.В., находясь по адресу: </w:t>
      </w:r>
      <w:r w:rsidR="004E1B4D">
        <w:rPr>
          <w:rFonts w:ascii="Times New Roman" w:hAnsi="Times New Roman"/>
          <w:sz w:val="28"/>
          <w:szCs w:val="28"/>
        </w:rPr>
        <w:t>*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="00014B69">
        <w:rPr>
          <w:rFonts w:ascii="Times New Roman" w:hAnsi="Times New Roman"/>
          <w:sz w:val="28"/>
          <w:szCs w:val="28"/>
        </w:rPr>
        <w:t>а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014B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D67F24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7F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01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B20" w:rsidP="001D7B20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Данилко Т.В. не явилась, судебная повестка, направленная по месту жительства Данилко Т.В.,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Данилко Т.В.</w:t>
      </w:r>
    </w:p>
    <w:p w:rsidR="00CB1010" w:rsidRPr="00D71B94" w:rsidP="00F7127A">
      <w:pPr>
        <w:pStyle w:val="21"/>
        <w:ind w:firstLine="709"/>
        <w:rPr>
          <w:sz w:val="28"/>
          <w:szCs w:val="28"/>
        </w:rPr>
      </w:pPr>
      <w:r w:rsidRPr="00D71B94">
        <w:rPr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D67F24" w:rsidP="00D67F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67F24" w:rsidP="00D67F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D67F24" w:rsidP="00D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1D7B20" w:rsidP="001D7B2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 председателя правления ПК «Дубрава» Данилко Т.В.</w:t>
      </w:r>
      <w:r w:rsidRPr="00E36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5AD" w:rsidP="001D7B2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1D7B20">
        <w:rPr>
          <w:rFonts w:ascii="Times New Roman" w:hAnsi="Times New Roman" w:cs="Times New Roman"/>
          <w:sz w:val="28"/>
          <w:szCs w:val="28"/>
        </w:rPr>
        <w:t>2215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1D7B20">
        <w:rPr>
          <w:rFonts w:ascii="Times New Roman" w:hAnsi="Times New Roman" w:cs="Times New Roman"/>
          <w:sz w:val="28"/>
          <w:szCs w:val="28"/>
        </w:rPr>
        <w:t>11</w:t>
      </w:r>
      <w:r w:rsidR="00F7127A">
        <w:rPr>
          <w:rFonts w:ascii="Times New Roman" w:hAnsi="Times New Roman" w:cs="Times New Roman"/>
          <w:sz w:val="28"/>
          <w:szCs w:val="28"/>
        </w:rPr>
        <w:t xml:space="preserve"> </w:t>
      </w:r>
      <w:r w:rsidR="001D7B20">
        <w:rPr>
          <w:rFonts w:ascii="Times New Roman" w:hAnsi="Times New Roman" w:cs="Times New Roman"/>
          <w:sz w:val="28"/>
          <w:szCs w:val="28"/>
        </w:rPr>
        <w:t>августа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1D7B20">
        <w:rPr>
          <w:rFonts w:ascii="Times New Roman" w:hAnsi="Times New Roman"/>
          <w:sz w:val="28"/>
          <w:szCs w:val="28"/>
        </w:rPr>
        <w:t>ПК «Дубрава»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D7B20">
        <w:rPr>
          <w:rFonts w:ascii="Times New Roman" w:hAnsi="Times New Roman" w:cs="Times New Roman"/>
          <w:sz w:val="28"/>
          <w:szCs w:val="28"/>
        </w:rPr>
        <w:t>11 августа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4B3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1D7B20">
        <w:rPr>
          <w:rFonts w:ascii="Times New Roman" w:hAnsi="Times New Roman"/>
          <w:sz w:val="28"/>
          <w:szCs w:val="28"/>
        </w:rPr>
        <w:t>ПК «Дубрава»</w:t>
      </w:r>
      <w:r w:rsidR="001D7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27A" w:rsidP="001D7B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1D7B20">
        <w:rPr>
          <w:rFonts w:ascii="Times New Roman" w:eastAsia="Times New Roman" w:hAnsi="Times New Roman"/>
          <w:sz w:val="28"/>
          <w:szCs w:val="28"/>
        </w:rPr>
        <w:t>31</w:t>
      </w:r>
      <w:r w:rsidR="00D67F24">
        <w:rPr>
          <w:rFonts w:ascii="Times New Roman" w:eastAsia="Times New Roman" w:hAnsi="Times New Roman"/>
          <w:sz w:val="28"/>
          <w:szCs w:val="28"/>
        </w:rPr>
        <w:t xml:space="preserve"> июля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D7B20">
        <w:rPr>
          <w:rFonts w:ascii="Times New Roman" w:hAnsi="Times New Roman"/>
          <w:sz w:val="28"/>
          <w:szCs w:val="28"/>
        </w:rPr>
        <w:t>председателем правления ПК «Дубрава» является Данилко Т.В.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председателя правления ПК «Дубрава» Данилко Т.В.</w:t>
      </w:r>
      <w:r>
        <w:rPr>
          <w:rFonts w:ascii="Times New Roman" w:hAnsi="Times New Roman" w:cs="Times New Roman"/>
          <w:sz w:val="28"/>
          <w:szCs w:val="28"/>
        </w:rPr>
        <w:t xml:space="preserve">  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1C56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7127A" w:rsidP="00F7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Данилко Т.В.,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отсутствие </w:t>
      </w:r>
      <w:r w:rsidR="00F15B03">
        <w:rPr>
          <w:rFonts w:ascii="Times New Roman" w:eastAsia="Times New Roman" w:hAnsi="Times New Roman"/>
          <w:sz w:val="28"/>
          <w:szCs w:val="28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Данилко Т.В.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7B20"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1D7B20">
        <w:rPr>
          <w:rFonts w:ascii="Times New Roman" w:hAnsi="Times New Roman"/>
          <w:sz w:val="28"/>
          <w:szCs w:val="28"/>
        </w:rPr>
        <w:t>председателя правления ПК «Дубрава» Данилко Т</w:t>
      </w:r>
      <w:r w:rsidR="004E1B4D">
        <w:rPr>
          <w:rFonts w:ascii="Times New Roman" w:hAnsi="Times New Roman"/>
          <w:sz w:val="28"/>
          <w:szCs w:val="28"/>
        </w:rPr>
        <w:t>.</w:t>
      </w:r>
      <w:r w:rsidR="001D7B20">
        <w:rPr>
          <w:rFonts w:ascii="Times New Roman" w:hAnsi="Times New Roman"/>
          <w:sz w:val="28"/>
          <w:szCs w:val="28"/>
        </w:rPr>
        <w:t>В</w:t>
      </w:r>
      <w:r w:rsidR="004E1B4D">
        <w:rPr>
          <w:rFonts w:ascii="Times New Roman" w:hAnsi="Times New Roman"/>
          <w:sz w:val="28"/>
          <w:szCs w:val="28"/>
        </w:rPr>
        <w:t>.</w:t>
      </w:r>
      <w:r w:rsidR="001D7B20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14B69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1D7B20">
        <w:rPr>
          <w:rFonts w:ascii="Times New Roman" w:hAnsi="Times New Roman" w:cs="Times New Roman"/>
          <w:sz w:val="28"/>
          <w:szCs w:val="28"/>
        </w:rPr>
        <w:t>5762515178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4E1B4D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1772C4" w:rsidP="00F15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97704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B03" w:rsidRPr="00F15B03" w:rsidP="00F15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B03" w:rsidP="00F15B0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BDC" w:rsidP="00957B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957BDC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4E1B4D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B4D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B4D">
        <w:rPr>
          <w:rFonts w:ascii="Times New Roman" w:hAnsi="Times New Roman"/>
          <w:sz w:val="28"/>
          <w:szCs w:val="28"/>
        </w:rPr>
        <w:t>Согласовано</w:t>
      </w:r>
    </w:p>
    <w:sectPr w:rsidSect="00F15B03">
      <w:headerReference w:type="default" r:id="rId5"/>
      <w:pgSz w:w="11906" w:h="16838"/>
      <w:pgMar w:top="851" w:right="707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26136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4E1B4D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772C4"/>
    <w:rsid w:val="00183D91"/>
    <w:rsid w:val="001A3200"/>
    <w:rsid w:val="001A3714"/>
    <w:rsid w:val="001A66DF"/>
    <w:rsid w:val="001B206C"/>
    <w:rsid w:val="001B718D"/>
    <w:rsid w:val="001C5685"/>
    <w:rsid w:val="001D7B20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0831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9526E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6D7D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1FD3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1B4D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D56A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36ABC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05FB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B4AA3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4192A"/>
    <w:rsid w:val="00950E4F"/>
    <w:rsid w:val="00952B0E"/>
    <w:rsid w:val="00954C57"/>
    <w:rsid w:val="00957BDC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4B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49D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24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03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7127A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C7CBD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B301-C600-42CD-AEFA-1C6F6866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